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color w:val="auto"/>
                <w:sz w:val="8"/>
              </w:rPr>
            </w:pPr>
            <w:r>
              <w:rPr>
                <w:b/>
                <w:bCs/>
                <w:color w:val="auto"/>
                <w:sz w:val="8"/>
              </w:rPr>
            </w:r>
          </w:p>
          <w:p>
            <w:pPr>
              <w:pStyle w:val="Zawartotabeli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16"/>
              </w:rPr>
              <w:t>Urząd Gminy</w:t>
            </w:r>
          </w:p>
          <w:p>
            <w:pPr>
              <w:pStyle w:val="Zawartotabeli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 xml:space="preserve">PODATEK OD NIERUCHOMOŚCI 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PRAWNE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  <w:sz w:val="20"/>
              </w:rPr>
              <w:t>Data zatwierdzenia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  <w:sz w:val="20"/>
              </w:rPr>
              <w:t>……………</w:t>
            </w:r>
            <w:r>
              <w:rPr>
                <w:color w:val="auto"/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ind w:left="179" w:hanging="0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DN-1</w:t>
            </w:r>
            <w:r>
              <w:rPr>
                <w:color w:val="auto"/>
              </w:rPr>
              <w:t xml:space="preserve"> Deklaracja na podatek od nieruchomości</w:t>
            </w:r>
          </w:p>
          <w:p>
            <w:pPr>
              <w:pStyle w:val="Zawartotabeli"/>
              <w:widowControl w:val="false"/>
              <w:ind w:left="179" w:hanging="0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ZDN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Osoby prawne, jednostki organizacyjne, w tym spółki nieposiadające osobowości prawnej, jednostki organizacyjne Lasów Państwowych, jednostki organizacyjne Agencji Własności Rolnej Skarbu Państwa obowiązane są  składać deklaracje na podatek od nieruchomości wraz z załącznikami w terminie: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do </w:t>
            </w:r>
            <w:r>
              <w:rPr>
                <w:b/>
                <w:color w:val="auto"/>
              </w:rPr>
              <w:t>31 stycznia</w:t>
            </w:r>
            <w:r>
              <w:rPr>
                <w:color w:val="auto"/>
              </w:rPr>
              <w:t xml:space="preserve">, a jeśli obowiązek podatkowy powstał po tym dniu - w terminie </w:t>
            </w:r>
            <w:r>
              <w:rPr>
                <w:b/>
                <w:color w:val="auto"/>
              </w:rPr>
              <w:t xml:space="preserve">14 dni od dnia zaistnienia okoliczności uzasadniających powstanie tego obowiązku. 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Art. 6 ustawy z dnia 12 stycznia 1991 roku o podatkach i opłatach lokalnych (t.j. Dz. U. z 2023, poz. 70 ze zm.)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Podatek od nieruchomości płatny jest bez wezwania, w ratach proporcjonalnych do czasu trwania obowiązku podatkowego, w terminie do dnia </w:t>
            </w:r>
            <w:r>
              <w:rPr>
                <w:b/>
                <w:bCs/>
                <w:color w:val="auto"/>
              </w:rPr>
              <w:t>15 każdego miesiąca</w:t>
            </w:r>
            <w:r>
              <w:rPr>
                <w:color w:val="auto"/>
              </w:rPr>
              <w:t xml:space="preserve">, a za </w:t>
            </w:r>
            <w:r>
              <w:rPr>
                <w:b/>
                <w:bCs/>
                <w:color w:val="auto"/>
              </w:rPr>
              <w:t>styczeń do dnia 31 stycznia</w:t>
            </w:r>
            <w:r>
              <w:rPr>
                <w:color w:val="auto"/>
              </w:rPr>
              <w:t xml:space="preserve"> na rachunek bankowy Gminy Długosiodło ul. T. Kościuszki 2, 07-210 Długosiodło </w:t>
            </w:r>
            <w:r>
              <w:rPr>
                <w:b/>
                <w:bCs/>
                <w:color w:val="auto"/>
              </w:rPr>
              <w:t>21 8931 0003 0600 0824 2040 0002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Jeżeli okolicznością, od której uzależniony jest obowiązek podatkowy, jest istnienie budowli albo budynku lub jego części, obowiązek podatkowy powstaje z dniem 1 stycznia roku następującego po roku, w którym budowa została zakończona albo, w którym rozpoczęto użytkowanie budynku lub jego części przed ich ostatecznym wykończeniem.</w:t>
            </w:r>
            <w:r>
              <w:rPr>
                <w:color w:val="auto"/>
              </w:rPr>
              <w:t xml:space="preserve"> 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Zawartotabeli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  <w:bookmarkStart w:id="0" w:name="_GoBack"/>
      <w:bookmarkStart w:id="1" w:name="_GoBack"/>
      <w:bookmarkEnd w:id="1"/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370</Words>
  <Characters>2320</Characters>
  <CharactersWithSpaces>2671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2025-01-09T14:51:02Z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